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1160" w14:textId="3532D49F" w:rsidR="0023562D" w:rsidRDefault="00366550" w:rsidP="00B342D9">
      <w:pPr>
        <w:shd w:val="clear" w:color="auto" w:fill="FFFFFF"/>
        <w:spacing w:after="72" w:line="240" w:lineRule="auto"/>
        <w:textAlignment w:val="baseline"/>
        <w:outlineLvl w:val="1"/>
        <w:rPr>
          <w:rFonts w:ascii="Arial" w:eastAsia="Times New Roman" w:hAnsi="Arial" w:cs="Arial"/>
          <w:color w:val="007FBF"/>
          <w:kern w:val="0"/>
          <w:sz w:val="44"/>
          <w:szCs w:val="44"/>
          <w:lang w:eastAsia="cs-CZ"/>
          <w14:ligatures w14:val="none"/>
        </w:rPr>
      </w:pPr>
      <w:r>
        <w:rPr>
          <w:rFonts w:ascii="Arial" w:eastAsia="Times New Roman" w:hAnsi="Arial" w:cs="Arial"/>
          <w:color w:val="007FBF"/>
          <w:kern w:val="0"/>
          <w:sz w:val="44"/>
          <w:szCs w:val="44"/>
          <w:lang w:eastAsia="cs-CZ"/>
          <w14:ligatures w14:val="none"/>
        </w:rPr>
        <w:t>S</w:t>
      </w:r>
      <w:r w:rsidRPr="00366550">
        <w:rPr>
          <w:rFonts w:ascii="Arial" w:eastAsia="Times New Roman" w:hAnsi="Arial" w:cs="Arial"/>
          <w:color w:val="007FBF"/>
          <w:kern w:val="0"/>
          <w:sz w:val="44"/>
          <w:szCs w:val="44"/>
          <w:lang w:eastAsia="cs-CZ"/>
          <w14:ligatures w14:val="none"/>
        </w:rPr>
        <w:t xml:space="preserve">voz jedlých olejů přímo od rodinných domů </w:t>
      </w:r>
    </w:p>
    <w:p w14:paraId="054C6915" w14:textId="77777777" w:rsidR="00B342D9" w:rsidRPr="00B342D9" w:rsidRDefault="00B342D9" w:rsidP="00B342D9">
      <w:pPr>
        <w:shd w:val="clear" w:color="auto" w:fill="FFFFFF"/>
        <w:spacing w:after="72" w:line="240" w:lineRule="auto"/>
        <w:textAlignment w:val="baseline"/>
        <w:outlineLvl w:val="1"/>
        <w:rPr>
          <w:rFonts w:ascii="Arial" w:eastAsia="Times New Roman" w:hAnsi="Arial" w:cs="Arial"/>
          <w:color w:val="007FBF"/>
          <w:kern w:val="0"/>
          <w:sz w:val="20"/>
          <w:szCs w:val="20"/>
          <w:lang w:eastAsia="cs-CZ"/>
          <w14:ligatures w14:val="none"/>
        </w:rPr>
      </w:pPr>
    </w:p>
    <w:p w14:paraId="7785959E" w14:textId="02AC7C90" w:rsidR="00366550" w:rsidRPr="00366550" w:rsidRDefault="00B342D9" w:rsidP="00366550">
      <w:pPr>
        <w:shd w:val="clear" w:color="auto" w:fill="FFFFFF"/>
        <w:spacing w:after="462" w:line="240" w:lineRule="auto"/>
        <w:textAlignment w:val="baseline"/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 xml:space="preserve">Od </w:t>
      </w:r>
      <w:r w:rsidR="00366550" w:rsidRPr="00366550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1.4 2024 zahajujeme novou službu pro naše občany, svoz použitých jedl</w:t>
      </w:r>
      <w:r w:rsidR="0023562D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ý</w:t>
      </w:r>
      <w:r w:rsidR="00366550" w:rsidRPr="00366550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ch olejů</w:t>
      </w:r>
      <w:r w:rsidR="0023562D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, který</w:t>
      </w:r>
      <w:r w:rsidR="00366550" w:rsidRPr="00366550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 xml:space="preserve"> se bude svážet přímo od rodinných domů při výsypu nádob s plastem, papírem</w:t>
      </w:r>
      <w:r w:rsidR="0023562D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 xml:space="preserve"> </w:t>
      </w:r>
      <w:r w:rsidR="00366550" w:rsidRPr="00366550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nebo směsným komunálním odpadem.</w:t>
      </w:r>
    </w:p>
    <w:p w14:paraId="6F76E3DC" w14:textId="1F1080F1" w:rsidR="00366550" w:rsidRDefault="00366550" w:rsidP="00366550">
      <w:p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Současně je možné ukládat použité oleje a tuky do speciální oranžové nádoby, která je umístěna u sběrných nádob na sklo na návsi.</w:t>
      </w:r>
    </w:p>
    <w:p w14:paraId="28F2D6DD" w14:textId="77777777" w:rsidR="00B342D9" w:rsidRPr="00366550" w:rsidRDefault="00B342D9" w:rsidP="00366550">
      <w:p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</w:pPr>
    </w:p>
    <w:p w14:paraId="5AC9BFB0" w14:textId="7B9B28DC" w:rsidR="00366550" w:rsidRPr="00366550" w:rsidRDefault="00366550" w:rsidP="00366550">
      <w:pPr>
        <w:shd w:val="clear" w:color="auto" w:fill="FFFFFF"/>
        <w:spacing w:after="462" w:line="240" w:lineRule="auto"/>
        <w:textAlignment w:val="baseline"/>
        <w:rPr>
          <w:rFonts w:ascii="Arial" w:eastAsia="Times New Roman" w:hAnsi="Arial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Jak to funguje?</w:t>
      </w:r>
    </w:p>
    <w:p w14:paraId="08CBB55B" w14:textId="77777777" w:rsidR="00366550" w:rsidRPr="00366550" w:rsidRDefault="00366550" w:rsidP="00366550">
      <w:pPr>
        <w:numPr>
          <w:ilvl w:val="0"/>
          <w:numId w:val="1"/>
        </w:num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  <w:t>Jedná se o bezplatný svoz jedlých olejů v rámci běžného svozu odpadů od rodinných domů.</w:t>
      </w:r>
    </w:p>
    <w:p w14:paraId="09F9258D" w14:textId="77777777" w:rsidR="00366550" w:rsidRPr="00366550" w:rsidRDefault="00366550" w:rsidP="00366550">
      <w:pPr>
        <w:numPr>
          <w:ilvl w:val="0"/>
          <w:numId w:val="2"/>
        </w:num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  <w:t>Občané již nemusí využívat veřejná sběrná stanoviště, ale nově mohou v den svozu umístit pevně uzavřenou PET lahev s použitým jedlým olejem na svou žlutou, modrou, hnědou nebo černou nádobu.</w:t>
      </w:r>
    </w:p>
    <w:p w14:paraId="5A6E85FE" w14:textId="77777777" w:rsidR="00366550" w:rsidRDefault="00366550" w:rsidP="00366550">
      <w:pPr>
        <w:numPr>
          <w:ilvl w:val="0"/>
          <w:numId w:val="4"/>
        </w:num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  <w:t>Získaná surovina bude dále předávána k materiálovému využití.</w:t>
      </w:r>
    </w:p>
    <w:p w14:paraId="3DE1083C" w14:textId="77777777" w:rsidR="00B342D9" w:rsidRPr="00366550" w:rsidRDefault="00B342D9" w:rsidP="00B342D9">
      <w:pPr>
        <w:shd w:val="clear" w:color="auto" w:fill="FFFFFF"/>
        <w:spacing w:after="92" w:line="240" w:lineRule="auto"/>
        <w:ind w:left="720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</w:p>
    <w:p w14:paraId="5D174F31" w14:textId="77777777" w:rsidR="00366550" w:rsidRPr="00366550" w:rsidRDefault="00366550" w:rsidP="00366550">
      <w:pPr>
        <w:shd w:val="clear" w:color="auto" w:fill="FFFFFF"/>
        <w:spacing w:after="462" w:line="240" w:lineRule="auto"/>
        <w:textAlignment w:val="baseline"/>
        <w:rPr>
          <w:rFonts w:ascii="Arial" w:eastAsia="Times New Roman" w:hAnsi="Arial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Arial" w:eastAsia="Times New Roman" w:hAnsi="Arial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  <w:t>Co je cílem služby?</w:t>
      </w:r>
    </w:p>
    <w:p w14:paraId="6245F68C" w14:textId="77777777" w:rsidR="00366550" w:rsidRPr="00366550" w:rsidRDefault="00366550" w:rsidP="00366550">
      <w:pPr>
        <w:numPr>
          <w:ilvl w:val="0"/>
          <w:numId w:val="5"/>
        </w:num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  <w:t>Podpora separace využitelných odpadů.</w:t>
      </w:r>
    </w:p>
    <w:p w14:paraId="31103A58" w14:textId="3DE3C979" w:rsidR="00366550" w:rsidRPr="00366550" w:rsidRDefault="00366550" w:rsidP="00366550">
      <w:pPr>
        <w:numPr>
          <w:ilvl w:val="0"/>
          <w:numId w:val="6"/>
        </w:num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  <w:t>Úleva pro kanalizační soustavu, kterou použité oleje spláchnuté do WC ucpávají.</w:t>
      </w:r>
    </w:p>
    <w:p w14:paraId="569B0182" w14:textId="77777777" w:rsidR="00366550" w:rsidRPr="00B342D9" w:rsidRDefault="00366550" w:rsidP="00366550">
      <w:pPr>
        <w:numPr>
          <w:ilvl w:val="0"/>
          <w:numId w:val="7"/>
        </w:num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  <w:t>Jednoduché a komfortní řešení pro obyvatelstvo.</w:t>
      </w:r>
    </w:p>
    <w:p w14:paraId="4687700D" w14:textId="77777777" w:rsidR="00B342D9" w:rsidRPr="00366550" w:rsidRDefault="00B342D9" w:rsidP="00B342D9">
      <w:pPr>
        <w:shd w:val="clear" w:color="auto" w:fill="FFFFFF"/>
        <w:spacing w:after="92" w:line="240" w:lineRule="auto"/>
        <w:ind w:left="720"/>
        <w:textAlignment w:val="baseline"/>
        <w:rPr>
          <w:rFonts w:ascii="inherit" w:eastAsia="Times New Roman" w:hAnsi="inherit" w:cs="Arial"/>
          <w:b/>
          <w:bCs/>
          <w:color w:val="342D28"/>
          <w:kern w:val="0"/>
          <w:sz w:val="20"/>
          <w:szCs w:val="20"/>
          <w:lang w:eastAsia="cs-CZ"/>
          <w14:ligatures w14:val="none"/>
        </w:rPr>
      </w:pPr>
    </w:p>
    <w:p w14:paraId="6482988A" w14:textId="4B947B08" w:rsidR="0023562D" w:rsidRDefault="00366550" w:rsidP="0023562D">
      <w:pPr>
        <w:shd w:val="clear" w:color="auto" w:fill="FFFFFF"/>
        <w:spacing w:after="462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cs-CZ"/>
          <w14:ligatures w14:val="none"/>
        </w:rPr>
        <w:t>POZOR</w:t>
      </w:r>
      <w:r w:rsidR="00B342D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cs-CZ"/>
          <w14:ligatures w14:val="none"/>
        </w:rPr>
        <w:t xml:space="preserve"> </w:t>
      </w:r>
      <w:r w:rsidRPr="00366550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cs-CZ"/>
          <w14:ligatures w14:val="none"/>
        </w:rPr>
        <w:t>!</w:t>
      </w:r>
      <w:r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cs-CZ"/>
          <w14:ligatures w14:val="none"/>
        </w:rPr>
        <w:t>!!</w:t>
      </w:r>
    </w:p>
    <w:p w14:paraId="1C052EC6" w14:textId="5C2AB780" w:rsidR="0023562D" w:rsidRPr="00366550" w:rsidRDefault="00366550" w:rsidP="0023562D">
      <w:pPr>
        <w:shd w:val="clear" w:color="auto" w:fill="FFFFFF"/>
        <w:spacing w:after="462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b/>
          <w:bCs/>
          <w:color w:val="FF0000"/>
          <w:kern w:val="0"/>
          <w:sz w:val="20"/>
          <w:szCs w:val="20"/>
          <w:lang w:eastAsia="cs-CZ"/>
          <w14:ligatures w14:val="none"/>
        </w:rPr>
        <w:t>Uvedená služba se vztahuje pouze na JEDLÉ oleje</w:t>
      </w:r>
      <w:r w:rsidR="0023562D">
        <w:rPr>
          <w:rFonts w:ascii="inherit" w:eastAsia="Times New Roman" w:hAnsi="inherit" w:cs="Arial"/>
          <w:b/>
          <w:bCs/>
          <w:color w:val="FF0000"/>
          <w:kern w:val="0"/>
          <w:sz w:val="20"/>
          <w:szCs w:val="20"/>
          <w:lang w:eastAsia="cs-CZ"/>
          <w14:ligatures w14:val="none"/>
        </w:rPr>
        <w:t xml:space="preserve"> </w:t>
      </w:r>
      <w:r w:rsidR="0023562D">
        <w:rPr>
          <w:rFonts w:ascii="inherit" w:eastAsia="Times New Roman" w:hAnsi="inherit" w:cs="Arial"/>
          <w:kern w:val="0"/>
          <w:sz w:val="20"/>
          <w:szCs w:val="20"/>
          <w:lang w:eastAsia="cs-CZ"/>
          <w14:ligatures w14:val="none"/>
        </w:rPr>
        <w:t>(</w:t>
      </w:r>
      <w:r w:rsidR="0023562D" w:rsidRPr="00AC74DC">
        <w:t>všechny kuchyňské oleje a tuky – z konzerv, z marinád, salátových zálivek, smažení, nakládané zeleniny či sýrů</w:t>
      </w:r>
      <w:r w:rsidR="00B342D9">
        <w:t xml:space="preserve"> a</w:t>
      </w:r>
      <w:r w:rsidR="0023562D" w:rsidRPr="00AC74DC">
        <w:t xml:space="preserve"> také máslo, sádlo, výpek z masa.</w:t>
      </w:r>
      <w:r w:rsidR="0023562D">
        <w:t>)</w:t>
      </w:r>
    </w:p>
    <w:p w14:paraId="4EE98779" w14:textId="0DE020DF" w:rsidR="00366550" w:rsidRPr="00366550" w:rsidRDefault="00366550" w:rsidP="00572594">
      <w:pPr>
        <w:numPr>
          <w:ilvl w:val="0"/>
          <w:numId w:val="9"/>
        </w:numPr>
        <w:shd w:val="clear" w:color="auto" w:fill="FFFFFF"/>
        <w:spacing w:after="92" w:line="240" w:lineRule="auto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inherit" w:eastAsia="Times New Roman" w:hAnsi="inherit" w:cs="Arial"/>
          <w:b/>
          <w:bCs/>
          <w:color w:val="FF0000"/>
          <w:kern w:val="0"/>
          <w:sz w:val="20"/>
          <w:szCs w:val="20"/>
          <w:lang w:eastAsia="cs-CZ"/>
          <w14:ligatures w14:val="none"/>
        </w:rPr>
        <w:t>Jedlý olej je možné tímto způsobem předávat pouze v uzavřených plastových PET lahvích</w:t>
      </w:r>
      <w:r w:rsidRPr="00366550"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  <w:t>.</w:t>
      </w:r>
    </w:p>
    <w:p w14:paraId="24DFDB5A" w14:textId="2FBB7D96" w:rsidR="00366550" w:rsidRPr="00366550" w:rsidRDefault="00366550" w:rsidP="00366550">
      <w:pPr>
        <w:shd w:val="clear" w:color="auto" w:fill="FFFFFF"/>
        <w:spacing w:after="92" w:line="240" w:lineRule="auto"/>
        <w:ind w:left="720"/>
        <w:textAlignment w:val="baseline"/>
        <w:rPr>
          <w:rFonts w:ascii="inherit" w:eastAsia="Times New Roman" w:hAnsi="inherit" w:cs="Arial"/>
          <w:color w:val="342D28"/>
          <w:kern w:val="0"/>
          <w:sz w:val="20"/>
          <w:szCs w:val="20"/>
          <w:lang w:eastAsia="cs-CZ"/>
          <w14:ligatures w14:val="none"/>
        </w:rPr>
      </w:pPr>
    </w:p>
    <w:p w14:paraId="798C8E94" w14:textId="75F66D86" w:rsidR="00366550" w:rsidRPr="00366550" w:rsidRDefault="00366550" w:rsidP="00366550">
      <w:pPr>
        <w:shd w:val="clear" w:color="auto" w:fill="FFFFFF"/>
        <w:spacing w:after="462" w:line="240" w:lineRule="auto"/>
        <w:textAlignment w:val="baseline"/>
        <w:rPr>
          <w:rFonts w:ascii="Arial" w:eastAsia="Times New Roman" w:hAnsi="Arial" w:cs="Arial"/>
          <w:color w:val="342D28"/>
          <w:kern w:val="0"/>
          <w:sz w:val="20"/>
          <w:szCs w:val="20"/>
          <w:lang w:eastAsia="cs-CZ"/>
          <w14:ligatures w14:val="none"/>
        </w:rPr>
      </w:pPr>
      <w:r w:rsidRPr="00366550">
        <w:rPr>
          <w:rFonts w:ascii="Arial" w:eastAsia="Times New Roman" w:hAnsi="Arial" w:cs="Arial"/>
          <w:noProof/>
          <w:color w:val="342D28"/>
          <w:kern w:val="0"/>
          <w:sz w:val="20"/>
          <w:szCs w:val="20"/>
          <w:lang w:eastAsia="cs-CZ"/>
          <w14:ligatures w14:val="none"/>
        </w:rPr>
        <w:drawing>
          <wp:inline distT="0" distB="0" distL="0" distR="0" wp14:anchorId="4C06E5F4" wp14:editId="0DAB0BF5">
            <wp:extent cx="4274820" cy="2286000"/>
            <wp:effectExtent l="0" t="0" r="0" b="0"/>
            <wp:docPr id="785298136" name="Obrázek 1" descr="Svoz jedlých olejů H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oz jedlých olejů H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550" w:rsidRPr="0036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29D"/>
    <w:multiLevelType w:val="multilevel"/>
    <w:tmpl w:val="0BE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00FC0"/>
    <w:multiLevelType w:val="multilevel"/>
    <w:tmpl w:val="EE32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35323"/>
    <w:multiLevelType w:val="multilevel"/>
    <w:tmpl w:val="4CC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11380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0245549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4681196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80743608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3991417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39408446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08425676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7960970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444704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16910246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4035346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50"/>
    <w:rsid w:val="0023562D"/>
    <w:rsid w:val="00366550"/>
    <w:rsid w:val="006205E3"/>
    <w:rsid w:val="00B342D9"/>
    <w:rsid w:val="00E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3EF"/>
  <w15:chartTrackingRefBased/>
  <w15:docId w15:val="{95E3F328-1F82-4D31-86BD-82300CA6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550"/>
  </w:style>
  <w:style w:type="paragraph" w:styleId="Nadpis2">
    <w:name w:val="heading 2"/>
    <w:basedOn w:val="Normln"/>
    <w:link w:val="Nadpis2Char"/>
    <w:uiPriority w:val="9"/>
    <w:qFormat/>
    <w:rsid w:val="00366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655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6655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66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94CE-B7BE-45B5-BFC6-A91DCD09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Čihal</dc:creator>
  <cp:keywords/>
  <dc:description/>
  <cp:lastModifiedBy>Nedeliste</cp:lastModifiedBy>
  <cp:revision>2</cp:revision>
  <cp:lastPrinted>2024-03-25T16:14:00Z</cp:lastPrinted>
  <dcterms:created xsi:type="dcterms:W3CDTF">2024-03-25T16:27:00Z</dcterms:created>
  <dcterms:modified xsi:type="dcterms:W3CDTF">2024-03-25T16:27:00Z</dcterms:modified>
</cp:coreProperties>
</file>